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3C" w:rsidRPr="000A35AA" w:rsidRDefault="00A065EF" w:rsidP="001B5F96">
      <w:pPr>
        <w:jc w:val="center"/>
        <w:rPr>
          <w:b/>
        </w:rPr>
      </w:pPr>
      <w:r>
        <w:rPr>
          <w:b/>
        </w:rPr>
        <w:t>Covington-Douglas</w:t>
      </w:r>
      <w:r w:rsidR="001B5F96" w:rsidRPr="000A35AA">
        <w:rPr>
          <w:b/>
        </w:rPr>
        <w:t xml:space="preserve"> Re-entry Plan</w:t>
      </w:r>
    </w:p>
    <w:p w:rsidR="00EB03CE" w:rsidRPr="000A35AA" w:rsidRDefault="000A35AA" w:rsidP="00EB03CE">
      <w:r>
        <w:t xml:space="preserve">Through parent surveys and in-person input parents have indicated that an </w:t>
      </w:r>
      <w:r w:rsidR="00EB03CE" w:rsidRPr="000A35AA">
        <w:t xml:space="preserve">overwhelming majority of parents </w:t>
      </w:r>
      <w:r w:rsidR="007F68BB" w:rsidRPr="000A35AA">
        <w:t xml:space="preserve">want the school year to be as close to a "normal" day of school as possible.  To that end our plan is being developed to attempt to bring as much normalcy as possible while providing a safe environment to learn in. </w:t>
      </w:r>
      <w:r>
        <w:t>Parent input is always welcome and encouraged.</w:t>
      </w:r>
    </w:p>
    <w:p w:rsidR="001B5F96" w:rsidRPr="000A35AA" w:rsidRDefault="001B5F96" w:rsidP="001B5F96">
      <w:r w:rsidRPr="000A35AA">
        <w:t xml:space="preserve">The </w:t>
      </w:r>
      <w:r w:rsidR="00584CC3">
        <w:t>school year will begin August 14, 2024</w:t>
      </w:r>
      <w:r w:rsidR="000A35AA">
        <w:t xml:space="preserve"> with the </w:t>
      </w:r>
      <w:r w:rsidRPr="000A35AA">
        <w:t>sanitation and distancing protocols</w:t>
      </w:r>
      <w:r w:rsidR="00584CC3">
        <w:t xml:space="preserve"> we finished 2024</w:t>
      </w:r>
      <w:r w:rsidR="008372F2">
        <w:t xml:space="preserve"> </w:t>
      </w:r>
      <w:r w:rsidR="000A35AA">
        <w:t>with. As this continues to be a</w:t>
      </w:r>
      <w:r w:rsidRPr="000A35AA">
        <w:t xml:space="preserve"> fluid situation, flexible contingency plans will be maintained to allow for adaptability during changing conditions. </w:t>
      </w:r>
      <w:r w:rsidRPr="002421BA">
        <w:rPr>
          <w:b/>
        </w:rPr>
        <w:t>Guidance from state and local health authorities will be monitored closely with steps taken as necessary to maintain safe conditions for students, teachers, staff and the community as a whole.</w:t>
      </w:r>
      <w:r w:rsidRPr="000A35AA">
        <w:t xml:space="preserve"> </w:t>
      </w:r>
      <w:r w:rsidR="00FE05E0">
        <w:t xml:space="preserve">The Garfield County Health Department will be a fundamental contact for the school. </w:t>
      </w:r>
    </w:p>
    <w:p w:rsidR="00AF79D5" w:rsidRPr="000A35AA" w:rsidRDefault="00AF79D5" w:rsidP="001B5F96">
      <w:r w:rsidRPr="000A35AA">
        <w:t xml:space="preserve">Illness and Absences  </w:t>
      </w:r>
    </w:p>
    <w:p w:rsidR="001B5F96" w:rsidRPr="000A35AA" w:rsidRDefault="001B5F96" w:rsidP="00AF79D5">
      <w:pPr>
        <w:pStyle w:val="ListParagraph"/>
        <w:numPr>
          <w:ilvl w:val="0"/>
          <w:numId w:val="1"/>
        </w:numPr>
      </w:pPr>
      <w:r w:rsidRPr="000A35AA">
        <w:t>Parents/guardians are the frontline of defense.  Parents/guardians are to check for symptoms and elevated</w:t>
      </w:r>
      <w:r w:rsidR="00D23741">
        <w:t xml:space="preserve"> (100 degrees Fahrenheit or greater)</w:t>
      </w:r>
      <w:r w:rsidRPr="000A35AA">
        <w:t xml:space="preserve"> temperature before sending children to school. Students must stay home if they have a high temperature</w:t>
      </w:r>
      <w:r w:rsidR="00D23741">
        <w:t xml:space="preserve"> (100 degrees Fahrenheit or greater)</w:t>
      </w:r>
      <w:r w:rsidRPr="000A35AA">
        <w:t xml:space="preserve">. Students must be fever free for 48 hours </w:t>
      </w:r>
      <w:r w:rsidR="00BA2BE0" w:rsidRPr="000A35AA">
        <w:t xml:space="preserve">without fever reducing medicine </w:t>
      </w:r>
      <w:r w:rsidRPr="000A35AA">
        <w:t xml:space="preserve">before returning to school.  Special consideration </w:t>
      </w:r>
      <w:r w:rsidR="00B305FD" w:rsidRPr="000A35AA">
        <w:t xml:space="preserve">when considering absences </w:t>
      </w:r>
      <w:r w:rsidRPr="000A35AA">
        <w:t xml:space="preserve">will be given to students exhibiting signs of illness. </w:t>
      </w:r>
    </w:p>
    <w:p w:rsidR="00AF79D5" w:rsidRPr="000A35AA" w:rsidRDefault="00AF79D5" w:rsidP="00AF79D5">
      <w:pPr>
        <w:pStyle w:val="ListParagraph"/>
        <w:numPr>
          <w:ilvl w:val="0"/>
          <w:numId w:val="1"/>
        </w:numPr>
      </w:pPr>
      <w:r w:rsidRPr="000A35AA">
        <w:t>All teachers will have touchless thermometers and the authority to take student temperatures. Those with temperatures over 100 degrees will be isolated and sent home.</w:t>
      </w:r>
    </w:p>
    <w:p w:rsidR="00AF79D5" w:rsidRPr="000A35AA" w:rsidRDefault="00AF79D5" w:rsidP="00AF79D5">
      <w:pPr>
        <w:pStyle w:val="ListParagraph"/>
        <w:numPr>
          <w:ilvl w:val="0"/>
          <w:numId w:val="1"/>
        </w:numPr>
      </w:pPr>
      <w:r w:rsidRPr="000A35AA">
        <w:t xml:space="preserve">Student temperature checks will be performed as needed at this time. </w:t>
      </w:r>
    </w:p>
    <w:p w:rsidR="00AF79D5" w:rsidRPr="000A35AA" w:rsidRDefault="001B5F96" w:rsidP="001B5F96">
      <w:r w:rsidRPr="000A35AA">
        <w:t>Bus Routes</w:t>
      </w:r>
      <w:r w:rsidR="00AF79D5" w:rsidRPr="000A35AA">
        <w:t xml:space="preserve"> </w:t>
      </w:r>
      <w:r w:rsidRPr="000A35AA">
        <w:t xml:space="preserve"> </w:t>
      </w:r>
    </w:p>
    <w:p w:rsidR="001B5F96" w:rsidRPr="000A35AA" w:rsidRDefault="001B5F96" w:rsidP="00AF79D5">
      <w:pPr>
        <w:pStyle w:val="ListParagraph"/>
        <w:numPr>
          <w:ilvl w:val="0"/>
          <w:numId w:val="2"/>
        </w:numPr>
      </w:pPr>
      <w:r w:rsidRPr="000A35AA">
        <w:t xml:space="preserve">Parents are encouraged to bring their students to school and pick them up if at all possible.  Those choosing to ride the bus will be seated in family groups and every effort will be made to ventilate the bus. </w:t>
      </w:r>
    </w:p>
    <w:p w:rsidR="00681A70" w:rsidRPr="000A35AA" w:rsidRDefault="00681A70" w:rsidP="00AF79D5">
      <w:pPr>
        <w:pStyle w:val="ListParagraph"/>
        <w:numPr>
          <w:ilvl w:val="0"/>
          <w:numId w:val="2"/>
        </w:numPr>
      </w:pPr>
      <w:r w:rsidRPr="000A35AA">
        <w:t xml:space="preserve">Bus routes may be discontinued if local, state, </w:t>
      </w:r>
      <w:r w:rsidR="009D5970" w:rsidRPr="000A35AA">
        <w:t>and/</w:t>
      </w:r>
      <w:r w:rsidRPr="000A35AA">
        <w:t xml:space="preserve">or national authorities determine that to be the need.  Alternative ways for parents to transport students to school should be considered. </w:t>
      </w:r>
    </w:p>
    <w:p w:rsidR="00AF79D5" w:rsidRPr="000A35AA" w:rsidRDefault="00AF79D5" w:rsidP="001B5F96">
      <w:r w:rsidRPr="000A35AA">
        <w:t xml:space="preserve">Cleaning  </w:t>
      </w:r>
    </w:p>
    <w:p w:rsidR="005A543B" w:rsidRPr="000A35AA" w:rsidRDefault="005A543B" w:rsidP="00AF79D5">
      <w:pPr>
        <w:pStyle w:val="ListParagraph"/>
        <w:numPr>
          <w:ilvl w:val="0"/>
          <w:numId w:val="2"/>
        </w:numPr>
      </w:pPr>
      <w:r w:rsidRPr="000A35AA">
        <w:t>Specific cleaning protocols will be used to improve and focus cleaning on items in high traffic areas. (All faculty and staff will be called upon to carry this out)</w:t>
      </w:r>
      <w:r w:rsidR="00AF79D5" w:rsidRPr="000A35AA">
        <w:t xml:space="preserve"> </w:t>
      </w:r>
    </w:p>
    <w:p w:rsidR="00AF79D5" w:rsidRPr="000A35AA" w:rsidRDefault="00AF79D5" w:rsidP="001B5F96">
      <w:r w:rsidRPr="000A35AA">
        <w:t xml:space="preserve">Hand Washing </w:t>
      </w:r>
    </w:p>
    <w:p w:rsidR="005A543B" w:rsidRPr="000A35AA" w:rsidRDefault="005A543B" w:rsidP="00AF79D5">
      <w:pPr>
        <w:pStyle w:val="ListParagraph"/>
        <w:numPr>
          <w:ilvl w:val="0"/>
          <w:numId w:val="2"/>
        </w:numPr>
      </w:pPr>
      <w:r w:rsidRPr="000A35AA">
        <w:t>Dedicated hand washing times and lessons on proper hand washing will be implemented. Increased hand washing will be emphasized.</w:t>
      </w:r>
      <w:r w:rsidR="00AF79D5" w:rsidRPr="000A35AA">
        <w:t xml:space="preserve"> Hand sanitizer station will be stationed throughout the school.</w:t>
      </w:r>
    </w:p>
    <w:p w:rsidR="00AF79D5" w:rsidRPr="000A35AA" w:rsidRDefault="00AF79D5" w:rsidP="001B5F96">
      <w:r w:rsidRPr="000A35AA">
        <w:lastRenderedPageBreak/>
        <w:t xml:space="preserve">Distancing  </w:t>
      </w:r>
    </w:p>
    <w:p w:rsidR="005A543B" w:rsidRPr="000A35AA" w:rsidRDefault="005A543B" w:rsidP="00AF79D5">
      <w:pPr>
        <w:pStyle w:val="ListParagraph"/>
        <w:numPr>
          <w:ilvl w:val="0"/>
          <w:numId w:val="2"/>
        </w:numPr>
      </w:pPr>
      <w:r w:rsidRPr="000A35AA">
        <w:t>Desks will be arranged to maximize spacing of students.</w:t>
      </w:r>
    </w:p>
    <w:p w:rsidR="00AF79D5" w:rsidRPr="000A35AA" w:rsidRDefault="00AF79D5" w:rsidP="001B5F96">
      <w:pPr>
        <w:pStyle w:val="ListParagraph"/>
        <w:numPr>
          <w:ilvl w:val="0"/>
          <w:numId w:val="2"/>
        </w:numPr>
      </w:pPr>
      <w:r w:rsidRPr="000A35AA">
        <w:t>Before school, lunch times, and after school systems will be implemented to help limit students contact with grades other than their own as much as possible.</w:t>
      </w:r>
    </w:p>
    <w:p w:rsidR="002116C8" w:rsidRPr="000A35AA" w:rsidRDefault="002116C8" w:rsidP="001B5F96">
      <w:r>
        <w:t>Respiratory Etiquette - Masks</w:t>
      </w:r>
    </w:p>
    <w:p w:rsidR="002116C8" w:rsidRDefault="002116C8" w:rsidP="002421BA">
      <w:pPr>
        <w:pStyle w:val="ListParagraph"/>
        <w:numPr>
          <w:ilvl w:val="0"/>
          <w:numId w:val="2"/>
        </w:numPr>
      </w:pPr>
      <w:r>
        <w:t>Masks are highly recommended</w:t>
      </w:r>
    </w:p>
    <w:p w:rsidR="002116C8" w:rsidRDefault="002116C8" w:rsidP="002421BA">
      <w:pPr>
        <w:pStyle w:val="ListParagraph"/>
        <w:numPr>
          <w:ilvl w:val="0"/>
          <w:numId w:val="2"/>
        </w:numPr>
      </w:pPr>
      <w:r>
        <w:t>Classroom ventilation with outside air will be incorporated whenever possible</w:t>
      </w:r>
    </w:p>
    <w:p w:rsidR="002421BA" w:rsidRPr="000A35AA" w:rsidRDefault="005E1A3E" w:rsidP="002421BA">
      <w:pPr>
        <w:pStyle w:val="ListParagraph"/>
        <w:numPr>
          <w:ilvl w:val="0"/>
          <w:numId w:val="2"/>
        </w:numPr>
      </w:pPr>
      <w:r w:rsidRPr="000A35AA">
        <w:t>Mask wearing is encouraged and supported for students, faculty, and staff, but not required at this time.</w:t>
      </w:r>
    </w:p>
    <w:p w:rsidR="00AF79D5" w:rsidRPr="000A35AA" w:rsidRDefault="00AD5227" w:rsidP="001B5F96">
      <w:r w:rsidRPr="000A35AA">
        <w:t>Mandatory Distance Learning</w:t>
      </w:r>
    </w:p>
    <w:p w:rsidR="005E1A3E" w:rsidRPr="000A35AA" w:rsidRDefault="005A21DB" w:rsidP="00AF79D5">
      <w:pPr>
        <w:pStyle w:val="ListParagraph"/>
        <w:numPr>
          <w:ilvl w:val="0"/>
          <w:numId w:val="2"/>
        </w:numPr>
      </w:pPr>
      <w:proofErr w:type="spellStart"/>
      <w:r w:rsidRPr="000A35AA">
        <w:t>Acellus</w:t>
      </w:r>
      <w:proofErr w:type="spellEnd"/>
      <w:r w:rsidRPr="000A35AA">
        <w:t xml:space="preserve"> online learning systems along with teacher designed lessons will be used for distance learning in the event of a forced closure. </w:t>
      </w:r>
    </w:p>
    <w:p w:rsidR="00AD5227" w:rsidRPr="000A35AA" w:rsidRDefault="00AD5227" w:rsidP="00AF79D5">
      <w:pPr>
        <w:pStyle w:val="ListParagraph"/>
        <w:numPr>
          <w:ilvl w:val="0"/>
          <w:numId w:val="2"/>
        </w:numPr>
      </w:pPr>
      <w:r w:rsidRPr="000A35AA">
        <w:t xml:space="preserve">All distance learning grades will count toward the </w:t>
      </w:r>
      <w:proofErr w:type="gramStart"/>
      <w:r w:rsidRPr="000A35AA">
        <w:t>students</w:t>
      </w:r>
      <w:proofErr w:type="gramEnd"/>
      <w:r w:rsidRPr="000A35AA">
        <w:t xml:space="preserve"> grades.  Grades and assignments will not be optional</w:t>
      </w:r>
    </w:p>
    <w:p w:rsidR="00AD5227" w:rsidRPr="000A35AA" w:rsidRDefault="00E8241A" w:rsidP="00AF79D5">
      <w:pPr>
        <w:pStyle w:val="ListParagraph"/>
        <w:numPr>
          <w:ilvl w:val="0"/>
          <w:numId w:val="2"/>
        </w:numPr>
      </w:pPr>
      <w:r w:rsidRPr="000A35AA">
        <w:t>Distance may contain the following platforms of delivery:</w:t>
      </w:r>
    </w:p>
    <w:p w:rsidR="00E8241A" w:rsidRPr="000A35AA" w:rsidRDefault="00E8241A" w:rsidP="00E8241A">
      <w:pPr>
        <w:pStyle w:val="ListParagraph"/>
      </w:pPr>
      <w:r w:rsidRPr="000A35AA">
        <w:tab/>
      </w:r>
      <w:proofErr w:type="spellStart"/>
      <w:r w:rsidRPr="000A35AA">
        <w:t>Acellus</w:t>
      </w:r>
      <w:proofErr w:type="spellEnd"/>
    </w:p>
    <w:p w:rsidR="00E8241A" w:rsidRPr="000A35AA" w:rsidRDefault="00E8241A" w:rsidP="00E8241A">
      <w:pPr>
        <w:pStyle w:val="ListParagraph"/>
      </w:pPr>
      <w:r w:rsidRPr="000A35AA">
        <w:tab/>
        <w:t>Google Classroom</w:t>
      </w:r>
    </w:p>
    <w:p w:rsidR="00E8241A" w:rsidRPr="000A35AA" w:rsidRDefault="00E8241A" w:rsidP="00E8241A">
      <w:pPr>
        <w:pStyle w:val="ListParagraph"/>
      </w:pPr>
      <w:r w:rsidRPr="000A35AA">
        <w:tab/>
        <w:t>Zoom</w:t>
      </w:r>
    </w:p>
    <w:p w:rsidR="00E8241A" w:rsidRPr="000A35AA" w:rsidRDefault="00E8241A" w:rsidP="00E8241A">
      <w:pPr>
        <w:pStyle w:val="ListParagraph"/>
      </w:pPr>
      <w:r w:rsidRPr="000A35AA">
        <w:tab/>
        <w:t>Paper Packets</w:t>
      </w:r>
    </w:p>
    <w:p w:rsidR="00E8241A" w:rsidRPr="000A35AA" w:rsidRDefault="00E8241A" w:rsidP="00E8241A">
      <w:pPr>
        <w:pStyle w:val="ListParagraph"/>
      </w:pPr>
      <w:r w:rsidRPr="000A35AA">
        <w:tab/>
        <w:t>E Mail</w:t>
      </w:r>
    </w:p>
    <w:p w:rsidR="00E8241A" w:rsidRPr="000A35AA" w:rsidRDefault="00E8241A" w:rsidP="00E8241A">
      <w:pPr>
        <w:pStyle w:val="ListParagraph"/>
      </w:pPr>
      <w:r w:rsidRPr="000A35AA">
        <w:tab/>
        <w:t>Exact Path</w:t>
      </w:r>
    </w:p>
    <w:p w:rsidR="00E8241A" w:rsidRPr="000A35AA" w:rsidRDefault="00E8241A" w:rsidP="00E8241A">
      <w:pPr>
        <w:pStyle w:val="ListParagraph"/>
      </w:pPr>
      <w:r w:rsidRPr="000A35AA">
        <w:tab/>
        <w:t>Reading Eggs</w:t>
      </w:r>
    </w:p>
    <w:p w:rsidR="00E8241A" w:rsidRPr="000A35AA" w:rsidRDefault="00E8241A" w:rsidP="00E8241A">
      <w:pPr>
        <w:pStyle w:val="ListParagraph"/>
      </w:pPr>
      <w:r w:rsidRPr="000A35AA">
        <w:tab/>
        <w:t>Other platforms as approved by the school administration</w:t>
      </w:r>
    </w:p>
    <w:p w:rsidR="009D5970" w:rsidRDefault="009D5970" w:rsidP="009D5970">
      <w:pPr>
        <w:pStyle w:val="ListParagraph"/>
        <w:numPr>
          <w:ilvl w:val="0"/>
          <w:numId w:val="2"/>
        </w:numPr>
      </w:pPr>
      <w:r w:rsidRPr="000A35AA">
        <w:t>We will have practice virtual days with students on site at regular days of school to help train them for the eventuality of having forced virtual days in response to the pandemic.</w:t>
      </w:r>
    </w:p>
    <w:p w:rsidR="002421BA" w:rsidRDefault="006F1332" w:rsidP="002421BA">
      <w:pPr>
        <w:pStyle w:val="ListParagraph"/>
        <w:numPr>
          <w:ilvl w:val="0"/>
          <w:numId w:val="2"/>
        </w:numPr>
      </w:pPr>
      <w:r w:rsidRPr="000A35AA">
        <w:t>Pre-Kindergarten will be included in forced distance learning</w:t>
      </w:r>
    </w:p>
    <w:p w:rsidR="002421BA" w:rsidRPr="000A35AA" w:rsidRDefault="006F1332" w:rsidP="002421BA">
      <w:r>
        <w:t>Counseling S</w:t>
      </w:r>
      <w:r w:rsidR="002421BA">
        <w:t>ervices</w:t>
      </w:r>
    </w:p>
    <w:p w:rsidR="009D5970" w:rsidRPr="000A35AA" w:rsidRDefault="002421BA" w:rsidP="009D5970">
      <w:pPr>
        <w:pStyle w:val="ListParagraph"/>
        <w:numPr>
          <w:ilvl w:val="0"/>
          <w:numId w:val="2"/>
        </w:numPr>
      </w:pPr>
      <w:r>
        <w:t xml:space="preserve">Counseling whether by our guidance counselor or by an outside agency will be provided to </w:t>
      </w:r>
      <w:r w:rsidR="006F1332">
        <w:t xml:space="preserve">aid staff and students in maintaining good social and emotional mental health </w:t>
      </w:r>
    </w:p>
    <w:p w:rsidR="009D5970" w:rsidRPr="000A35AA" w:rsidRDefault="009D5970" w:rsidP="00FC637E">
      <w:r w:rsidRPr="000A35AA">
        <w:t>Education</w:t>
      </w:r>
      <w:r w:rsidR="006F1332">
        <w:t>al</w:t>
      </w:r>
      <w:r w:rsidRPr="000A35AA">
        <w:t xml:space="preserve"> Option</w:t>
      </w:r>
      <w:r w:rsidR="006F1332">
        <w:t>s</w:t>
      </w:r>
    </w:p>
    <w:p w:rsidR="00FE05E0" w:rsidRPr="006F1332" w:rsidRDefault="006F1332" w:rsidP="00FE05E0">
      <w:pPr>
        <w:pStyle w:val="ListParagraph"/>
        <w:numPr>
          <w:ilvl w:val="0"/>
          <w:numId w:val="2"/>
        </w:numPr>
      </w:pPr>
      <w:r w:rsidRPr="006F1332">
        <w:t xml:space="preserve">To attempt to provide the most "normal" educational opportunity full virtual education will not be an option. </w:t>
      </w:r>
      <w:r>
        <w:t xml:space="preserve">All of the </w:t>
      </w:r>
      <w:r w:rsidR="008372F2">
        <w:t>school’s</w:t>
      </w:r>
      <w:r>
        <w:t xml:space="preserve"> efforts will be focused on providing the safest possible "normal" education to reflect the desired educational opportunity parents have requested. </w:t>
      </w:r>
    </w:p>
    <w:p w:rsidR="009D5970" w:rsidRPr="000A35AA" w:rsidRDefault="009D5970" w:rsidP="009D5970">
      <w:pPr>
        <w:rPr>
          <w:i/>
        </w:rPr>
      </w:pPr>
      <w:r w:rsidRPr="000A35AA">
        <w:rPr>
          <w:i/>
        </w:rPr>
        <w:lastRenderedPageBreak/>
        <w:t>Th</w:t>
      </w:r>
      <w:r w:rsidR="006F1332">
        <w:rPr>
          <w:i/>
        </w:rPr>
        <w:t xml:space="preserve">is is not an all inclusive list and updates to the plan will be made at a minimum of every 6 months with likely changes occurring monthly. </w:t>
      </w:r>
      <w:r w:rsidRPr="000A35AA">
        <w:rPr>
          <w:i/>
        </w:rPr>
        <w:t xml:space="preserve">  If you have questions</w:t>
      </w:r>
      <w:r w:rsidR="006F1332">
        <w:rPr>
          <w:i/>
        </w:rPr>
        <w:t xml:space="preserve"> or </w:t>
      </w:r>
      <w:r w:rsidR="002116C8">
        <w:rPr>
          <w:i/>
        </w:rPr>
        <w:t>input,</w:t>
      </w:r>
      <w:r w:rsidRPr="000A35AA">
        <w:rPr>
          <w:i/>
        </w:rPr>
        <w:t xml:space="preserve"> feel free to co</w:t>
      </w:r>
      <w:r w:rsidR="000A35AA">
        <w:rPr>
          <w:i/>
        </w:rPr>
        <w:t>ntact the school at 580-864-7450</w:t>
      </w:r>
    </w:p>
    <w:p w:rsidR="00593347" w:rsidRPr="000A35AA" w:rsidRDefault="00593347" w:rsidP="001B5F96"/>
    <w:p w:rsidR="009D5970" w:rsidRPr="000A35AA" w:rsidRDefault="009D5970" w:rsidP="001B5F96"/>
    <w:p w:rsidR="00593347" w:rsidRPr="000A35AA" w:rsidRDefault="00593347" w:rsidP="001B5F96">
      <w:pPr>
        <w:rPr>
          <w:b/>
        </w:rPr>
      </w:pPr>
      <w:r w:rsidRPr="000A35AA">
        <w:rPr>
          <w:b/>
        </w:rPr>
        <w:t xml:space="preserve">Positive </w:t>
      </w:r>
      <w:proofErr w:type="spellStart"/>
      <w:r w:rsidRPr="000A35AA">
        <w:rPr>
          <w:b/>
        </w:rPr>
        <w:t>Covid</w:t>
      </w:r>
      <w:proofErr w:type="spellEnd"/>
      <w:r w:rsidRPr="000A35AA">
        <w:rPr>
          <w:b/>
        </w:rPr>
        <w:t xml:space="preserve"> -19 Test</w:t>
      </w:r>
    </w:p>
    <w:p w:rsidR="00593347" w:rsidRPr="000A35AA" w:rsidRDefault="00593347" w:rsidP="001B5F96">
      <w:r w:rsidRPr="000A35AA">
        <w:tab/>
        <w:t xml:space="preserve">If an employee or student is suspected or known to have contracted Covid-19 must meet all of </w:t>
      </w:r>
      <w:r w:rsidRPr="000A35AA">
        <w:tab/>
        <w:t>the following:</w:t>
      </w:r>
    </w:p>
    <w:p w:rsidR="00593347" w:rsidRPr="000A35AA" w:rsidRDefault="00593347" w:rsidP="001B5F96">
      <w:r w:rsidRPr="000A35AA">
        <w:tab/>
      </w:r>
      <w:r w:rsidRPr="000A35AA">
        <w:tab/>
      </w:r>
      <w:r w:rsidR="008372F2">
        <w:t>5</w:t>
      </w:r>
      <w:r w:rsidR="002116C8" w:rsidRPr="000A35AA">
        <w:t>-day</w:t>
      </w:r>
      <w:r w:rsidRPr="000A35AA">
        <w:t xml:space="preserve"> quarantine from onset of first symptom</w:t>
      </w:r>
    </w:p>
    <w:p w:rsidR="00593347" w:rsidRPr="000A35AA" w:rsidRDefault="00593347" w:rsidP="001B5F96">
      <w:r w:rsidRPr="000A35AA">
        <w:tab/>
      </w:r>
      <w:r w:rsidRPr="000A35AA">
        <w:tab/>
        <w:t>48 hours without fever (While using no fever reducing medicine)</w:t>
      </w:r>
    </w:p>
    <w:p w:rsidR="00593347" w:rsidRPr="000A35AA" w:rsidRDefault="00593347" w:rsidP="001B5F96">
      <w:r w:rsidRPr="000A35AA">
        <w:tab/>
      </w:r>
      <w:r w:rsidRPr="000A35AA">
        <w:tab/>
        <w:t>Symptoms are no longer present</w:t>
      </w:r>
    </w:p>
    <w:p w:rsidR="00FF7D8B" w:rsidRPr="002116C8" w:rsidRDefault="00FE05E0" w:rsidP="001B5F96">
      <w:pPr>
        <w:rPr>
          <w:b/>
        </w:rPr>
      </w:pPr>
      <w:r w:rsidRPr="002116C8">
        <w:rPr>
          <w:b/>
        </w:rPr>
        <w:t>Vaccines and Diagnostic Testing</w:t>
      </w:r>
    </w:p>
    <w:p w:rsidR="00FE05E0" w:rsidRDefault="00FE05E0" w:rsidP="001B5F96">
      <w:r>
        <w:tab/>
        <w:t xml:space="preserve">All available information concerning vaccine distribution and opportunities will be passed along </w:t>
      </w:r>
      <w:r>
        <w:tab/>
        <w:t>to staff, parents, and students.</w:t>
      </w:r>
    </w:p>
    <w:p w:rsidR="00FE05E0" w:rsidRDefault="00FE05E0" w:rsidP="001B5F96">
      <w:r>
        <w:tab/>
        <w:t xml:space="preserve">All state laws regarding vaccinations will be followed. </w:t>
      </w:r>
    </w:p>
    <w:p w:rsidR="00FE05E0" w:rsidRDefault="00FE05E0" w:rsidP="001B5F96">
      <w:r>
        <w:tab/>
        <w:t xml:space="preserve">Diagnostic testing will be encouraged and information will be provided concerning Covid-19 </w:t>
      </w:r>
      <w:r>
        <w:tab/>
        <w:t>testing.</w:t>
      </w:r>
    </w:p>
    <w:p w:rsidR="00FE05E0" w:rsidRDefault="00FE05E0" w:rsidP="001B5F96"/>
    <w:p w:rsidR="00FE05E0" w:rsidRDefault="00FE05E0" w:rsidP="001B5F96"/>
    <w:p w:rsidR="008372F2" w:rsidRDefault="008372F2" w:rsidP="001B5F96"/>
    <w:p w:rsidR="008372F2" w:rsidRDefault="008372F2" w:rsidP="001B5F96"/>
    <w:p w:rsidR="008372F2" w:rsidRDefault="008372F2" w:rsidP="001B5F96"/>
    <w:p w:rsidR="008372F2" w:rsidRDefault="008372F2" w:rsidP="001B5F96"/>
    <w:p w:rsidR="008372F2" w:rsidRDefault="008372F2" w:rsidP="001B5F96"/>
    <w:p w:rsidR="008372F2" w:rsidRDefault="008372F2" w:rsidP="001B5F96"/>
    <w:p w:rsidR="002116C8" w:rsidRDefault="002116C8" w:rsidP="001B5F96"/>
    <w:p w:rsidR="002116C8" w:rsidRDefault="002116C8" w:rsidP="001B5F96"/>
    <w:p w:rsidR="00CB4E78" w:rsidRDefault="00FF7D8B" w:rsidP="001B5F96">
      <w:pPr>
        <w:rPr>
          <w:b/>
        </w:rPr>
      </w:pPr>
      <w:r w:rsidRPr="00CB4E78">
        <w:rPr>
          <w:b/>
        </w:rPr>
        <w:lastRenderedPageBreak/>
        <w:t xml:space="preserve">Federal Funds Including ESSER I (CARES Money), ESSER II, and ESSER III (ARP) </w:t>
      </w:r>
    </w:p>
    <w:p w:rsidR="006E0A68" w:rsidRDefault="006E0A68" w:rsidP="001B5F96">
      <w:pPr>
        <w:rPr>
          <w:b/>
          <w:i/>
        </w:rPr>
      </w:pPr>
      <w:r>
        <w:rPr>
          <w:b/>
          <w:i/>
        </w:rPr>
        <w:tab/>
        <w:t>ARP - ESSER 3</w:t>
      </w:r>
      <w:r w:rsidR="00584CC3">
        <w:rPr>
          <w:b/>
          <w:i/>
        </w:rPr>
        <w:t xml:space="preserve"> </w:t>
      </w:r>
      <w:r w:rsidR="00584CC3">
        <w:rPr>
          <w:b/>
          <w:i/>
        </w:rPr>
        <w:tab/>
      </w:r>
      <w:r w:rsidR="00584CC3">
        <w:rPr>
          <w:b/>
          <w:i/>
        </w:rPr>
        <w:tab/>
      </w:r>
      <w:r w:rsidR="00584CC3">
        <w:rPr>
          <w:b/>
          <w:i/>
        </w:rPr>
        <w:tab/>
        <w:t>$228,001.22</w:t>
      </w:r>
      <w:r w:rsidRPr="006E0A68">
        <w:rPr>
          <w:b/>
          <w:i/>
        </w:rPr>
        <w:tab/>
      </w:r>
      <w:r w:rsidRPr="006E0A68">
        <w:rPr>
          <w:b/>
          <w:i/>
        </w:rPr>
        <w:tab/>
        <w:t>Total</w:t>
      </w:r>
      <w:r w:rsidR="00584CC3">
        <w:rPr>
          <w:b/>
          <w:i/>
        </w:rPr>
        <w:t xml:space="preserve"> Available</w:t>
      </w:r>
      <w:r>
        <w:rPr>
          <w:b/>
          <w:i/>
        </w:rPr>
        <w:t xml:space="preserve"> ARP - ESSER 3</w:t>
      </w:r>
    </w:p>
    <w:p w:rsidR="006E0A68" w:rsidRPr="006E0A68" w:rsidRDefault="006E0A68" w:rsidP="001B5F96">
      <w:pPr>
        <w:rPr>
          <w:b/>
          <w:i/>
        </w:rPr>
      </w:pPr>
    </w:p>
    <w:p w:rsidR="00CB4E78" w:rsidRDefault="00CB4E78" w:rsidP="001B5F96">
      <w:r w:rsidRPr="003E3698">
        <w:rPr>
          <w:b/>
        </w:rPr>
        <w:t>ESSER I (CARES Money)</w:t>
      </w:r>
      <w:r w:rsidR="00584CC3">
        <w:t xml:space="preserve"> were</w:t>
      </w:r>
      <w:r>
        <w:t xml:space="preserve"> spent purchasing supplies and equipment to sanitize and clean the facilities of the Covington-Douglas Schools.</w:t>
      </w:r>
    </w:p>
    <w:p w:rsidR="00CB4E78" w:rsidRDefault="00CB4E78" w:rsidP="00CB4E78">
      <w:pPr>
        <w:spacing w:after="0" w:line="240" w:lineRule="auto"/>
        <w:rPr>
          <w:rFonts w:eastAsia="Times New Roman" w:cs="Times New Roman"/>
        </w:rPr>
      </w:pPr>
      <w:r w:rsidRPr="003E3698">
        <w:rPr>
          <w:rFonts w:eastAsia="Times New Roman" w:cs="Times New Roman"/>
          <w:b/>
        </w:rPr>
        <w:t>ESSER II and ESSER III</w:t>
      </w:r>
      <w:r w:rsidR="00584CC3">
        <w:rPr>
          <w:rFonts w:eastAsia="Times New Roman" w:cs="Times New Roman"/>
        </w:rPr>
        <w:t xml:space="preserve"> funds will</w:t>
      </w:r>
      <w:bookmarkStart w:id="0" w:name="_GoBack"/>
      <w:bookmarkEnd w:id="0"/>
      <w:r>
        <w:rPr>
          <w:rFonts w:eastAsia="Times New Roman" w:cs="Times New Roman"/>
        </w:rPr>
        <w:t xml:space="preserve"> be spent within the categories listed below with 20 % of ESSER III (ARP) being spent specifically to address learning loss created by the Covid-19 pandemic</w:t>
      </w:r>
    </w:p>
    <w:p w:rsidR="00CB4E78" w:rsidRPr="00CB4E78" w:rsidRDefault="00CB4E78" w:rsidP="00CB4E78">
      <w:pPr>
        <w:spacing w:after="0" w:line="240" w:lineRule="auto"/>
        <w:rPr>
          <w:rFonts w:eastAsia="Times New Roman" w:cs="Times New Roman"/>
        </w:rPr>
      </w:pP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482"/>
        <w:gridCol w:w="8263"/>
        <w:gridCol w:w="66"/>
        <w:gridCol w:w="81"/>
      </w:tblGrid>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shd w:val="clear" w:color="auto" w:fill="FFFFFF"/>
              </w:rPr>
              <w:t>1.</w:t>
            </w:r>
          </w:p>
        </w:tc>
        <w:tc>
          <w:tcPr>
            <w:tcW w:w="0" w:type="auto"/>
            <w:gridSpan w:val="3"/>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Any activity authorized by the ESEA of 1965, including the Native Hawaiian Education Act and the Alaska Native Educational Equity, Support, and Assistance Act (20 U.S.C. 6301 et seq.), the Individuals with Disabilities Education Act (20 U.S.C. 1400 et seq.) (‘‘IDEA’’), the Adult Education and Family Literacy Act (20 U.S.C. 1400 et seq.), the Carl D. Perkins Career and Technical Education Act of 2006 (20 U.S.C. 2301 et seq.) (‘‘the Perkins Act’’), or subtitle B of title VII of the McKinney-Vento Homeless Assistance Act (42 U.S.C. 11431 et seq.).</w:t>
            </w: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2.</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3.</w:t>
            </w:r>
          </w:p>
        </w:tc>
        <w:tc>
          <w:tcPr>
            <w:tcW w:w="0" w:type="auto"/>
            <w:gridSpan w:val="3"/>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Providing principals and others school leaders with the resources necessary to address the needs of their individual schools.</w:t>
            </w: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4.</w:t>
            </w:r>
          </w:p>
        </w:tc>
        <w:tc>
          <w:tcPr>
            <w:tcW w:w="0" w:type="auto"/>
            <w:gridSpan w:val="3"/>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p>
        </w:tc>
        <w:tc>
          <w:tcPr>
            <w:tcW w:w="0" w:type="auto"/>
            <w:gridSpan w:val="3"/>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5.</w:t>
            </w:r>
          </w:p>
        </w:tc>
        <w:tc>
          <w:tcPr>
            <w:tcW w:w="0" w:type="auto"/>
            <w:gridSpan w:val="3"/>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Developing and implementing procedures and systems to improve the preparedness and response efforts of local educational agencies.</w:t>
            </w: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p>
        </w:tc>
        <w:tc>
          <w:tcPr>
            <w:tcW w:w="0" w:type="auto"/>
            <w:gridSpan w:val="3"/>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6.</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Training and professional development for staff of the local educational agency on sanitation.</w:t>
            </w: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7.</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Purchasing supplies</w:t>
            </w:r>
            <w:r w:rsidR="008372F2">
              <w:rPr>
                <w:rFonts w:eastAsia="Times New Roman" w:cs="Times New Roman"/>
              </w:rPr>
              <w:t xml:space="preserve"> and paying employees</w:t>
            </w:r>
            <w:r w:rsidRPr="00CB4E78">
              <w:rPr>
                <w:rFonts w:eastAsia="Times New Roman" w:cs="Times New Roman"/>
              </w:rPr>
              <w:t xml:space="preserve"> to sanitize and clean the facilities of a local educational agency, including buildings operated by such agency.</w:t>
            </w: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8.</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 xml:space="preserve">Planning for, coordinating, and implementing activities during long-term closures, including providing meals to eligible students, providing technology for online learning to all students, providing guidance for carrying out requirements under the IDEA and ensuring </w:t>
            </w:r>
            <w:r w:rsidRPr="00CB4E78">
              <w:rPr>
                <w:rFonts w:eastAsia="Times New Roman" w:cs="Times New Roman"/>
              </w:rPr>
              <w:lastRenderedPageBreak/>
              <w:t>other educational services can continue to be provided consistent with all Federal, State, and local requirements.</w:t>
            </w: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9.</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10.</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Providing mental health services and supports.</w:t>
            </w: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11.</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12.</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Addressing learning loss among students, including low-income students, children with disabilities, English learners, racial and ethnic minorities, students experiencing homelessness, and children and youth in foster care, of the local educational agency, including by—</w:t>
            </w:r>
          </w:p>
        </w:tc>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p>
        </w:tc>
      </w:tr>
    </w:tbl>
    <w:p w:rsidR="00CB4E78" w:rsidRPr="00CB4E78" w:rsidRDefault="00CB4E78" w:rsidP="00CB4E78">
      <w:pPr>
        <w:spacing w:after="0" w:line="240" w:lineRule="auto"/>
        <w:rPr>
          <w:rFonts w:eastAsia="Times New Roman" w:cs="Times New Roman"/>
          <w:vanish/>
        </w:rPr>
      </w:pP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415"/>
        <w:gridCol w:w="7073"/>
      </w:tblGrid>
      <w:tr w:rsidR="00CB4E78" w:rsidRPr="00CB4E78" w:rsidTr="00CB4E78">
        <w:trPr>
          <w:tblCellSpacing w:w="15" w:type="dxa"/>
          <w:jc w:val="center"/>
        </w:trPr>
        <w:tc>
          <w:tcPr>
            <w:tcW w:w="250" w:type="pct"/>
            <w:hideMark/>
          </w:tcPr>
          <w:p w:rsidR="00CB4E78" w:rsidRPr="00CB4E78" w:rsidRDefault="00CB4E78" w:rsidP="00CB4E78">
            <w:pPr>
              <w:spacing w:after="0" w:line="240" w:lineRule="auto"/>
              <w:jc w:val="center"/>
              <w:rPr>
                <w:rFonts w:eastAsia="Times New Roman" w:cs="Times New Roman"/>
              </w:rPr>
            </w:pPr>
            <w:r w:rsidRPr="00CB4E78">
              <w:rPr>
                <w:rFonts w:eastAsia="Times New Roman" w:cs="Times New Roman"/>
              </w:rPr>
              <w:t>A)</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Administering and using high-quality assessments that are valid and reliable, to accurately assess students’ academic progress and assist educators in meeting students’ academic needs, including through differentiating instruction.</w:t>
            </w: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jc w:val="center"/>
              <w:rPr>
                <w:rFonts w:eastAsia="Times New Roman" w:cs="Times New Roman"/>
              </w:rPr>
            </w:pPr>
            <w:r w:rsidRPr="00CB4E78">
              <w:rPr>
                <w:rFonts w:eastAsia="Times New Roman" w:cs="Times New Roman"/>
              </w:rPr>
              <w:t>B)</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Implementing evidence-based activities to meet the comprehensive needs of students.</w:t>
            </w: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jc w:val="center"/>
              <w:rPr>
                <w:rFonts w:eastAsia="Times New Roman" w:cs="Times New Roman"/>
              </w:rPr>
            </w:pPr>
            <w:r w:rsidRPr="00CB4E78">
              <w:rPr>
                <w:rFonts w:eastAsia="Times New Roman" w:cs="Times New Roman"/>
              </w:rPr>
              <w:t>C)</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Providing information and assistance to parents and families on how they can effectively support students, including in a distance learning environment.</w:t>
            </w:r>
          </w:p>
        </w:tc>
      </w:tr>
      <w:tr w:rsidR="00CB4E78" w:rsidRPr="00CB4E78" w:rsidTr="00CB4E78">
        <w:trPr>
          <w:tblCellSpacing w:w="15" w:type="dxa"/>
          <w:jc w:val="center"/>
        </w:trPr>
        <w:tc>
          <w:tcPr>
            <w:tcW w:w="250" w:type="pct"/>
            <w:hideMark/>
          </w:tcPr>
          <w:p w:rsidR="00CB4E78" w:rsidRPr="00CB4E78" w:rsidRDefault="00CB4E78" w:rsidP="00CB4E78">
            <w:pPr>
              <w:spacing w:after="0" w:line="240" w:lineRule="auto"/>
              <w:jc w:val="center"/>
              <w:rPr>
                <w:rFonts w:eastAsia="Times New Roman" w:cs="Times New Roman"/>
              </w:rPr>
            </w:pPr>
            <w:r w:rsidRPr="00CB4E78">
              <w:rPr>
                <w:rFonts w:eastAsia="Times New Roman" w:cs="Times New Roman"/>
              </w:rPr>
              <w:t>D)</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Tracking student attendance and improving student engagement in distance education.</w:t>
            </w:r>
          </w:p>
        </w:tc>
      </w:tr>
    </w:tbl>
    <w:p w:rsidR="00CB4E78" w:rsidRPr="00CB4E78" w:rsidRDefault="00CB4E78" w:rsidP="00CB4E78">
      <w:pPr>
        <w:spacing w:after="0" w:line="240" w:lineRule="auto"/>
        <w:rPr>
          <w:rFonts w:eastAsia="Times New Roman" w:cs="Times New Roman"/>
          <w:vanish/>
        </w:rPr>
      </w:pP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485"/>
        <w:gridCol w:w="8407"/>
      </w:tblGrid>
      <w:tr w:rsidR="00CB4E78" w:rsidRPr="00CB4E78" w:rsidTr="00CB4E78">
        <w:trPr>
          <w:tblCellSpacing w:w="15" w:type="dxa"/>
          <w:jc w:val="center"/>
        </w:trPr>
        <w:tc>
          <w:tcPr>
            <w:tcW w:w="250" w:type="pct"/>
            <w:vAlign w:val="center"/>
            <w:hideMark/>
          </w:tcPr>
          <w:p w:rsidR="00CB4E78" w:rsidRPr="00CB4E78" w:rsidRDefault="00584CC3" w:rsidP="00CB4E78">
            <w:pPr>
              <w:spacing w:after="0" w:line="240" w:lineRule="auto"/>
              <w:rPr>
                <w:rFonts w:eastAsia="Times New Roman" w:cs="Times New Roman"/>
              </w:rPr>
            </w:pPr>
            <w:r>
              <w:rPr>
                <w:rFonts w:eastAsia="Times New Roman" w:cs="Times New Roman"/>
              </w:rPr>
              <w:t>13.</w:t>
            </w: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School facility repairs and improvements to enable operation of schools to reduce risk of virus transmission and exposure to environmental health hazards, and to support student health needs.</w:t>
            </w:r>
          </w:p>
        </w:tc>
      </w:tr>
      <w:tr w:rsidR="00CB4E78" w:rsidRPr="00CB4E78" w:rsidTr="00CB4E78">
        <w:trPr>
          <w:tblCellSpacing w:w="15" w:type="dxa"/>
          <w:jc w:val="center"/>
        </w:trPr>
        <w:tc>
          <w:tcPr>
            <w:tcW w:w="0" w:type="auto"/>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Inspection, testing, maintenance, repair, replacement, and upgrade projects to improve the indoor air quality in school facilities, including mechanical and non-mechanical heating, ventilation, and air conditioning systems, filtering, purification and other air cleaning, fans, control systems, and window and door repair and replacement.</w:t>
            </w:r>
          </w:p>
        </w:tc>
      </w:tr>
      <w:tr w:rsidR="00CB4E78" w:rsidRPr="00CB4E78" w:rsidTr="00CB4E78">
        <w:trPr>
          <w:tblCellSpacing w:w="15" w:type="dxa"/>
          <w:jc w:val="center"/>
        </w:trPr>
        <w:tc>
          <w:tcPr>
            <w:tcW w:w="250" w:type="pct"/>
            <w:vAlign w:val="center"/>
            <w:hideMark/>
          </w:tcPr>
          <w:p w:rsidR="00CB4E78" w:rsidRPr="00CB4E78" w:rsidRDefault="00CB4E78" w:rsidP="00CB4E78">
            <w:pPr>
              <w:spacing w:after="0" w:line="240" w:lineRule="auto"/>
              <w:rPr>
                <w:rFonts w:eastAsia="Times New Roman" w:cs="Times New Roman"/>
              </w:rPr>
            </w:pPr>
          </w:p>
        </w:tc>
        <w:tc>
          <w:tcPr>
            <w:tcW w:w="0" w:type="auto"/>
            <w:vAlign w:val="center"/>
            <w:hideMark/>
          </w:tcPr>
          <w:p w:rsidR="00CB4E78" w:rsidRPr="00CB4E78" w:rsidRDefault="00CB4E78" w:rsidP="00CB4E78">
            <w:pPr>
              <w:spacing w:after="0" w:line="240" w:lineRule="auto"/>
              <w:rPr>
                <w:rFonts w:eastAsia="Times New Roman" w:cs="Times New Roman"/>
              </w:rPr>
            </w:pPr>
            <w:r w:rsidRPr="00CB4E78">
              <w:rPr>
                <w:rFonts w:eastAsia="Times New Roman" w:cs="Times New Roman"/>
              </w:rPr>
              <w:t>Other activities that are necessary to maintain the operation of and continuity of services in local educational agencies and continuing to employ existing staff of the local educational agency.</w:t>
            </w:r>
          </w:p>
        </w:tc>
      </w:tr>
    </w:tbl>
    <w:p w:rsidR="00FF7D8B" w:rsidRDefault="00FF7D8B" w:rsidP="001B5F96"/>
    <w:p w:rsidR="00593347" w:rsidRDefault="00593347" w:rsidP="001B5F96">
      <w:r>
        <w:tab/>
      </w:r>
      <w:r>
        <w:tab/>
      </w:r>
    </w:p>
    <w:p w:rsidR="00681A70" w:rsidRDefault="00681A70" w:rsidP="001B5F96"/>
    <w:p w:rsidR="00681A70" w:rsidRDefault="00681A70" w:rsidP="001B5F96"/>
    <w:p w:rsidR="00681A70" w:rsidRDefault="00681A70" w:rsidP="001B5F96"/>
    <w:p w:rsidR="00681A70" w:rsidRDefault="00681A70" w:rsidP="001B5F96"/>
    <w:p w:rsidR="00681A70" w:rsidRDefault="00681A70" w:rsidP="001B5F96"/>
    <w:p w:rsidR="00681A70" w:rsidRDefault="00681A70" w:rsidP="001B5F96"/>
    <w:p w:rsidR="00681A70" w:rsidRDefault="00681A70" w:rsidP="001B5F96"/>
    <w:p w:rsidR="00681A70" w:rsidRDefault="00681A70" w:rsidP="001B5F96"/>
    <w:p w:rsidR="00681A70" w:rsidRDefault="00681A70" w:rsidP="001B5F96"/>
    <w:p w:rsidR="00681A70" w:rsidRDefault="00681A70" w:rsidP="001B5F96"/>
    <w:p w:rsidR="00681A70" w:rsidRDefault="00681A70" w:rsidP="001B5F96"/>
    <w:p w:rsidR="00681A70" w:rsidRDefault="00681A70" w:rsidP="001B5F96"/>
    <w:p w:rsidR="00681A70" w:rsidRDefault="00681A70" w:rsidP="001B5F96"/>
    <w:p w:rsidR="00681A70" w:rsidRDefault="00681A70" w:rsidP="001B5F96"/>
    <w:p w:rsidR="00681A70" w:rsidRDefault="00681A70" w:rsidP="001B5F96"/>
    <w:sectPr w:rsidR="00681A70" w:rsidSect="002C5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707"/>
    <w:multiLevelType w:val="hybridMultilevel"/>
    <w:tmpl w:val="C076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65E05"/>
    <w:multiLevelType w:val="hybridMultilevel"/>
    <w:tmpl w:val="63A8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96"/>
    <w:rsid w:val="00025D27"/>
    <w:rsid w:val="000A35AA"/>
    <w:rsid w:val="001B5F96"/>
    <w:rsid w:val="002116C8"/>
    <w:rsid w:val="002421BA"/>
    <w:rsid w:val="002C5B3C"/>
    <w:rsid w:val="002C6626"/>
    <w:rsid w:val="00377863"/>
    <w:rsid w:val="003B513A"/>
    <w:rsid w:val="003E3698"/>
    <w:rsid w:val="004B7DC6"/>
    <w:rsid w:val="00584CC3"/>
    <w:rsid w:val="00593347"/>
    <w:rsid w:val="005A21DB"/>
    <w:rsid w:val="005A543B"/>
    <w:rsid w:val="005E1A3E"/>
    <w:rsid w:val="0063708B"/>
    <w:rsid w:val="00681A70"/>
    <w:rsid w:val="006E0A68"/>
    <w:rsid w:val="006F1332"/>
    <w:rsid w:val="007F68BB"/>
    <w:rsid w:val="008372F2"/>
    <w:rsid w:val="00844A53"/>
    <w:rsid w:val="009D5970"/>
    <w:rsid w:val="00A065EF"/>
    <w:rsid w:val="00AD5227"/>
    <w:rsid w:val="00AF79D5"/>
    <w:rsid w:val="00B305FD"/>
    <w:rsid w:val="00B826AD"/>
    <w:rsid w:val="00BA2BE0"/>
    <w:rsid w:val="00C53D31"/>
    <w:rsid w:val="00CB4E78"/>
    <w:rsid w:val="00D079A7"/>
    <w:rsid w:val="00D23741"/>
    <w:rsid w:val="00E8241A"/>
    <w:rsid w:val="00EB03CE"/>
    <w:rsid w:val="00F327B4"/>
    <w:rsid w:val="00FC637E"/>
    <w:rsid w:val="00FE05E0"/>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6429"/>
  <w15:docId w15:val="{95B73FDD-7121-4047-8E1D-D26B778C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9D5"/>
    <w:pPr>
      <w:ind w:left="720"/>
      <w:contextualSpacing/>
    </w:pPr>
  </w:style>
  <w:style w:type="paragraph" w:styleId="BalloonText">
    <w:name w:val="Balloon Text"/>
    <w:basedOn w:val="Normal"/>
    <w:link w:val="BalloonTextChar"/>
    <w:uiPriority w:val="99"/>
    <w:semiHidden/>
    <w:unhideWhenUsed/>
    <w:rsid w:val="00A0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6067">
      <w:bodyDiv w:val="1"/>
      <w:marLeft w:val="0"/>
      <w:marRight w:val="0"/>
      <w:marTop w:val="0"/>
      <w:marBottom w:val="0"/>
      <w:divBdr>
        <w:top w:val="none" w:sz="0" w:space="0" w:color="auto"/>
        <w:left w:val="none" w:sz="0" w:space="0" w:color="auto"/>
        <w:bottom w:val="none" w:sz="0" w:space="0" w:color="auto"/>
        <w:right w:val="none" w:sz="0" w:space="0" w:color="auto"/>
      </w:divBdr>
    </w:div>
    <w:div w:id="1872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E428-B6EC-4F82-B97A-EB40BDB8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darren.sharp</dc:creator>
  <cp:lastModifiedBy>Darren Sharp</cp:lastModifiedBy>
  <cp:revision>2</cp:revision>
  <cp:lastPrinted>2023-09-26T18:28:00Z</cp:lastPrinted>
  <dcterms:created xsi:type="dcterms:W3CDTF">2024-09-03T14:22:00Z</dcterms:created>
  <dcterms:modified xsi:type="dcterms:W3CDTF">2024-09-03T14:22:00Z</dcterms:modified>
</cp:coreProperties>
</file>